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A9E6" w14:textId="77777777" w:rsidR="00FA16CC" w:rsidRPr="00FA16CC" w:rsidRDefault="00FA16CC" w:rsidP="00FA16CC">
      <w:pPr>
        <w:jc w:val="center"/>
        <w:rPr>
          <w:b/>
          <w:snapToGrid w:val="0"/>
          <w:u w:val="single"/>
        </w:rPr>
      </w:pPr>
      <w:r w:rsidRPr="00FA16CC">
        <w:rPr>
          <w:b/>
          <w:snapToGrid w:val="0"/>
          <w:u w:val="single"/>
        </w:rPr>
        <w:t>Criteria used for evaluation of economic and financial capacity</w:t>
      </w:r>
    </w:p>
    <w:p w14:paraId="6A1A8F47" w14:textId="77777777" w:rsidR="00FA16CC" w:rsidRDefault="00FA16CC" w:rsidP="00FA16CC">
      <w:pPr>
        <w:rPr>
          <w:snapToGrid w:val="0"/>
        </w:rPr>
      </w:pPr>
    </w:p>
    <w:p w14:paraId="17F795E0" w14:textId="77777777" w:rsidR="00FA16CC" w:rsidRPr="00202017" w:rsidRDefault="00FA16CC" w:rsidP="00FA16CC">
      <w:pPr>
        <w:rPr>
          <w:snapToGrid w:val="0"/>
        </w:rPr>
      </w:pPr>
      <w:r w:rsidRPr="00202017">
        <w:rPr>
          <w:snapToGrid w:val="0"/>
        </w:rPr>
        <w:t xml:space="preserve">On the basis of the data from the 'Simplified Presentation' </w:t>
      </w:r>
      <w:r>
        <w:rPr>
          <w:snapToGrid w:val="0"/>
        </w:rPr>
        <w:t>form in</w:t>
      </w:r>
      <w:r w:rsidR="000D014B">
        <w:rPr>
          <w:snapToGrid w:val="0"/>
        </w:rPr>
        <w:t xml:space="preserve"> Annex VI B</w:t>
      </w:r>
      <w:r w:rsidRPr="00202017">
        <w:rPr>
          <w:snapToGrid w:val="0"/>
        </w:rPr>
        <w:t xml:space="preserve">, a number of values and ratios will be calculated in order to evaluate the economic and financial capacity of the </w:t>
      </w:r>
      <w:r w:rsidR="000D014B">
        <w:rPr>
          <w:snapToGrid w:val="0"/>
        </w:rPr>
        <w:t>candidate</w:t>
      </w:r>
      <w:r w:rsidRPr="00202017">
        <w:rPr>
          <w:snapToGrid w:val="0"/>
        </w:rPr>
        <w:t>.</w:t>
      </w:r>
    </w:p>
    <w:p w14:paraId="103D7F41" w14:textId="77777777" w:rsidR="00FA16CC" w:rsidRPr="00202017" w:rsidRDefault="00FA16CC" w:rsidP="00FA16CC">
      <w:pPr>
        <w:spacing w:after="120"/>
        <w:jc w:val="left"/>
        <w:rPr>
          <w:snapToGrid w:val="0"/>
          <w:szCs w:val="24"/>
        </w:rPr>
      </w:pPr>
      <w:r w:rsidRPr="00202017">
        <w:rPr>
          <w:snapToGrid w:val="0"/>
          <w:szCs w:val="24"/>
        </w:rPr>
        <w:t>The following values will be calculated:</w:t>
      </w:r>
    </w:p>
    <w:tbl>
      <w:tblPr>
        <w:tblW w:w="8505" w:type="dxa"/>
        <w:tblInd w:w="250" w:type="dxa"/>
        <w:tblLook w:val="0000" w:firstRow="0" w:lastRow="0" w:firstColumn="0" w:lastColumn="0" w:noHBand="0" w:noVBand="0"/>
      </w:tblPr>
      <w:tblGrid>
        <w:gridCol w:w="2583"/>
        <w:gridCol w:w="3800"/>
        <w:gridCol w:w="2122"/>
      </w:tblGrid>
      <w:tr w:rsidR="00FA16CC" w:rsidRPr="00202017" w14:paraId="75AC5DC3" w14:textId="77777777" w:rsidTr="00E71D12">
        <w:trPr>
          <w:trHeight w:val="588"/>
        </w:trPr>
        <w:tc>
          <w:tcPr>
            <w:tcW w:w="2583" w:type="dxa"/>
            <w:tcBorders>
              <w:top w:val="single" w:sz="8" w:space="0" w:color="auto"/>
              <w:left w:val="single" w:sz="8" w:space="0" w:color="auto"/>
              <w:bottom w:val="single" w:sz="8" w:space="0" w:color="auto"/>
              <w:right w:val="dotted" w:sz="4" w:space="0" w:color="auto"/>
            </w:tcBorders>
            <w:shd w:val="clear" w:color="auto" w:fill="FFCC00"/>
            <w:noWrap/>
            <w:vAlign w:val="bottom"/>
          </w:tcPr>
          <w:p w14:paraId="2247A207" w14:textId="77777777" w:rsidR="00FA16CC" w:rsidRPr="00202017" w:rsidRDefault="00FA16CC" w:rsidP="00E71D12">
            <w:pPr>
              <w:spacing w:after="0"/>
              <w:jc w:val="center"/>
              <w:rPr>
                <w:b/>
                <w:bCs/>
                <w:szCs w:val="24"/>
                <w:lang w:eastAsia="en-GB"/>
              </w:rPr>
            </w:pPr>
            <w:r w:rsidRPr="00202017">
              <w:rPr>
                <w:b/>
                <w:bCs/>
                <w:szCs w:val="24"/>
                <w:lang w:eastAsia="en-GB"/>
              </w:rPr>
              <w:t>Value</w:t>
            </w:r>
          </w:p>
        </w:tc>
        <w:tc>
          <w:tcPr>
            <w:tcW w:w="3800" w:type="dxa"/>
            <w:tcBorders>
              <w:top w:val="single" w:sz="8" w:space="0" w:color="auto"/>
              <w:left w:val="nil"/>
              <w:bottom w:val="single" w:sz="8" w:space="0" w:color="auto"/>
              <w:right w:val="dotted" w:sz="4" w:space="0" w:color="auto"/>
            </w:tcBorders>
            <w:shd w:val="clear" w:color="auto" w:fill="FFCC00"/>
            <w:vAlign w:val="bottom"/>
          </w:tcPr>
          <w:p w14:paraId="311FAFF9" w14:textId="77777777" w:rsidR="00FA16CC" w:rsidRPr="00202017" w:rsidRDefault="00FA16CC" w:rsidP="00E71D12">
            <w:pPr>
              <w:spacing w:after="0"/>
              <w:jc w:val="center"/>
              <w:rPr>
                <w:b/>
                <w:bCs/>
                <w:szCs w:val="24"/>
                <w:lang w:eastAsia="en-GB"/>
              </w:rPr>
            </w:pPr>
            <w:r w:rsidRPr="00202017">
              <w:rPr>
                <w:b/>
                <w:bCs/>
                <w:szCs w:val="24"/>
                <w:lang w:eastAsia="en-GB"/>
              </w:rPr>
              <w:t>Formula/source</w:t>
            </w:r>
          </w:p>
        </w:tc>
        <w:tc>
          <w:tcPr>
            <w:tcW w:w="2122" w:type="dxa"/>
            <w:tcBorders>
              <w:top w:val="single" w:sz="8" w:space="0" w:color="auto"/>
              <w:left w:val="nil"/>
              <w:bottom w:val="single" w:sz="8" w:space="0" w:color="auto"/>
              <w:right w:val="single" w:sz="8" w:space="0" w:color="auto"/>
            </w:tcBorders>
            <w:shd w:val="clear" w:color="auto" w:fill="FFCC00"/>
            <w:vAlign w:val="bottom"/>
          </w:tcPr>
          <w:p w14:paraId="27AEBD99" w14:textId="77777777" w:rsidR="00FA16CC" w:rsidRPr="00202017" w:rsidRDefault="00FA16CC" w:rsidP="00E71D12">
            <w:pPr>
              <w:spacing w:after="0"/>
              <w:jc w:val="center"/>
              <w:rPr>
                <w:b/>
                <w:bCs/>
                <w:szCs w:val="24"/>
                <w:lang w:eastAsia="en-GB"/>
              </w:rPr>
            </w:pPr>
            <w:r w:rsidRPr="00202017">
              <w:rPr>
                <w:b/>
                <w:bCs/>
                <w:szCs w:val="24"/>
                <w:lang w:eastAsia="en-GB"/>
              </w:rPr>
              <w:t>Unfavourable if:</w:t>
            </w:r>
          </w:p>
        </w:tc>
      </w:tr>
      <w:tr w:rsidR="00FA16CC" w:rsidRPr="00202017" w14:paraId="72AF59C0" w14:textId="77777777" w:rsidTr="00E71D12">
        <w:trPr>
          <w:trHeight w:val="600"/>
        </w:trPr>
        <w:tc>
          <w:tcPr>
            <w:tcW w:w="2583" w:type="dxa"/>
            <w:tcBorders>
              <w:top w:val="nil"/>
              <w:left w:val="single" w:sz="8" w:space="0" w:color="auto"/>
              <w:bottom w:val="dotted" w:sz="4" w:space="0" w:color="auto"/>
              <w:right w:val="dotted" w:sz="4" w:space="0" w:color="auto"/>
            </w:tcBorders>
            <w:shd w:val="clear" w:color="auto" w:fill="auto"/>
            <w:vAlign w:val="bottom"/>
          </w:tcPr>
          <w:p w14:paraId="7095F11B" w14:textId="77777777" w:rsidR="00FA16CC" w:rsidRPr="00202017" w:rsidRDefault="00FA16CC" w:rsidP="00E71D12">
            <w:pPr>
              <w:spacing w:after="0"/>
              <w:jc w:val="center"/>
              <w:rPr>
                <w:szCs w:val="24"/>
                <w:lang w:eastAsia="en-GB"/>
              </w:rPr>
            </w:pPr>
            <w:r w:rsidRPr="00202017">
              <w:rPr>
                <w:szCs w:val="24"/>
                <w:lang w:eastAsia="en-GB"/>
              </w:rPr>
              <w:t>own funds</w:t>
            </w:r>
          </w:p>
        </w:tc>
        <w:tc>
          <w:tcPr>
            <w:tcW w:w="3800" w:type="dxa"/>
            <w:tcBorders>
              <w:top w:val="nil"/>
              <w:left w:val="nil"/>
              <w:bottom w:val="dotted" w:sz="4" w:space="0" w:color="auto"/>
              <w:right w:val="dotted" w:sz="4" w:space="0" w:color="auto"/>
            </w:tcBorders>
            <w:shd w:val="clear" w:color="auto" w:fill="auto"/>
            <w:vAlign w:val="bottom"/>
          </w:tcPr>
          <w:p w14:paraId="434F8EF8" w14:textId="77777777" w:rsidR="00FA16CC" w:rsidRPr="00202017" w:rsidRDefault="00FA16CC" w:rsidP="00E71D12">
            <w:pPr>
              <w:spacing w:after="0"/>
              <w:jc w:val="center"/>
              <w:rPr>
                <w:szCs w:val="24"/>
                <w:lang w:eastAsia="en-GB"/>
              </w:rPr>
            </w:pPr>
            <w:r w:rsidRPr="00202017">
              <w:rPr>
                <w:szCs w:val="24"/>
                <w:lang w:eastAsia="en-GB"/>
              </w:rPr>
              <w:t>from the balance sheet</w:t>
            </w:r>
          </w:p>
        </w:tc>
        <w:tc>
          <w:tcPr>
            <w:tcW w:w="2122" w:type="dxa"/>
            <w:tcBorders>
              <w:top w:val="nil"/>
              <w:left w:val="nil"/>
              <w:bottom w:val="dotted" w:sz="4" w:space="0" w:color="auto"/>
              <w:right w:val="single" w:sz="8" w:space="0" w:color="auto"/>
            </w:tcBorders>
            <w:shd w:val="clear" w:color="auto" w:fill="auto"/>
            <w:vAlign w:val="bottom"/>
          </w:tcPr>
          <w:p w14:paraId="5E2CAB2A" w14:textId="77777777"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14:paraId="174A81A4" w14:textId="77777777" w:rsidTr="00E71D12">
        <w:trPr>
          <w:trHeight w:val="585"/>
        </w:trPr>
        <w:tc>
          <w:tcPr>
            <w:tcW w:w="2583" w:type="dxa"/>
            <w:tcBorders>
              <w:top w:val="nil"/>
              <w:left w:val="single" w:sz="8" w:space="0" w:color="auto"/>
              <w:bottom w:val="dotted" w:sz="4" w:space="0" w:color="auto"/>
              <w:right w:val="dotted" w:sz="4" w:space="0" w:color="auto"/>
            </w:tcBorders>
            <w:shd w:val="clear" w:color="auto" w:fill="auto"/>
            <w:vAlign w:val="bottom"/>
          </w:tcPr>
          <w:p w14:paraId="4C12FF61" w14:textId="77777777" w:rsidR="00FA16CC" w:rsidRPr="00202017" w:rsidRDefault="00FA16CC" w:rsidP="00E71D12">
            <w:pPr>
              <w:spacing w:after="0"/>
              <w:jc w:val="center"/>
              <w:rPr>
                <w:szCs w:val="24"/>
                <w:lang w:eastAsia="en-GB"/>
              </w:rPr>
            </w:pPr>
          </w:p>
        </w:tc>
        <w:tc>
          <w:tcPr>
            <w:tcW w:w="3800" w:type="dxa"/>
            <w:tcBorders>
              <w:top w:val="nil"/>
              <w:left w:val="nil"/>
              <w:bottom w:val="dotted" w:sz="4" w:space="0" w:color="auto"/>
              <w:right w:val="dotted" w:sz="4" w:space="0" w:color="auto"/>
            </w:tcBorders>
            <w:shd w:val="clear" w:color="auto" w:fill="auto"/>
            <w:vAlign w:val="bottom"/>
          </w:tcPr>
          <w:p w14:paraId="0FDC03FC" w14:textId="77777777" w:rsidR="00FA16CC" w:rsidRPr="00202017" w:rsidRDefault="00FA16CC" w:rsidP="00E71D12">
            <w:pPr>
              <w:spacing w:after="0"/>
              <w:jc w:val="center"/>
              <w:rPr>
                <w:szCs w:val="24"/>
                <w:lang w:eastAsia="en-GB"/>
              </w:rPr>
            </w:pPr>
            <w:r w:rsidRPr="00202017">
              <w:rPr>
                <w:szCs w:val="24"/>
                <w:lang w:eastAsia="en-GB"/>
              </w:rPr>
              <w:t>own funds - paid-up capital</w:t>
            </w:r>
          </w:p>
        </w:tc>
        <w:tc>
          <w:tcPr>
            <w:tcW w:w="2122" w:type="dxa"/>
            <w:tcBorders>
              <w:top w:val="nil"/>
              <w:left w:val="nil"/>
              <w:bottom w:val="dotted" w:sz="4" w:space="0" w:color="auto"/>
              <w:right w:val="single" w:sz="8" w:space="0" w:color="auto"/>
            </w:tcBorders>
            <w:shd w:val="clear" w:color="auto" w:fill="auto"/>
            <w:vAlign w:val="bottom"/>
          </w:tcPr>
          <w:p w14:paraId="06918290" w14:textId="77777777"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14:paraId="1F5EDBE0" w14:textId="77777777" w:rsidTr="00E71D12">
        <w:trPr>
          <w:trHeight w:val="585"/>
        </w:trPr>
        <w:tc>
          <w:tcPr>
            <w:tcW w:w="2583" w:type="dxa"/>
            <w:tcBorders>
              <w:top w:val="nil"/>
              <w:left w:val="single" w:sz="8" w:space="0" w:color="auto"/>
              <w:bottom w:val="dotted" w:sz="4" w:space="0" w:color="auto"/>
              <w:right w:val="dotted" w:sz="4" w:space="0" w:color="auto"/>
            </w:tcBorders>
            <w:shd w:val="clear" w:color="auto" w:fill="auto"/>
            <w:vAlign w:val="bottom"/>
          </w:tcPr>
          <w:p w14:paraId="205C3451" w14:textId="77777777" w:rsidR="00FA16CC" w:rsidRPr="00202017" w:rsidRDefault="00FA16CC" w:rsidP="00E71D12">
            <w:pPr>
              <w:spacing w:after="0"/>
              <w:jc w:val="center"/>
              <w:rPr>
                <w:szCs w:val="24"/>
                <w:lang w:eastAsia="en-GB"/>
              </w:rPr>
            </w:pPr>
            <w:r w:rsidRPr="00202017">
              <w:rPr>
                <w:szCs w:val="24"/>
                <w:lang w:eastAsia="en-GB"/>
              </w:rPr>
              <w:t>working capital</w:t>
            </w:r>
          </w:p>
        </w:tc>
        <w:tc>
          <w:tcPr>
            <w:tcW w:w="3800" w:type="dxa"/>
            <w:tcBorders>
              <w:top w:val="nil"/>
              <w:left w:val="nil"/>
              <w:bottom w:val="dotted" w:sz="4" w:space="0" w:color="auto"/>
              <w:right w:val="dotted" w:sz="4" w:space="0" w:color="auto"/>
            </w:tcBorders>
            <w:shd w:val="clear" w:color="auto" w:fill="auto"/>
            <w:vAlign w:val="bottom"/>
          </w:tcPr>
          <w:p w14:paraId="0C4FC2B3" w14:textId="77777777" w:rsidR="00FA16CC" w:rsidRPr="00202017" w:rsidRDefault="00FA16CC" w:rsidP="00E71D12">
            <w:pPr>
              <w:spacing w:after="0"/>
              <w:jc w:val="center"/>
              <w:rPr>
                <w:szCs w:val="24"/>
                <w:lang w:eastAsia="en-GB"/>
              </w:rPr>
            </w:pPr>
            <w:r w:rsidRPr="00202017">
              <w:rPr>
                <w:szCs w:val="24"/>
                <w:lang w:eastAsia="en-GB"/>
              </w:rPr>
              <w:t>permanent capital - fixed assets</w:t>
            </w:r>
          </w:p>
        </w:tc>
        <w:tc>
          <w:tcPr>
            <w:tcW w:w="2122" w:type="dxa"/>
            <w:tcBorders>
              <w:top w:val="nil"/>
              <w:left w:val="nil"/>
              <w:bottom w:val="dotted" w:sz="4" w:space="0" w:color="auto"/>
              <w:right w:val="single" w:sz="8" w:space="0" w:color="auto"/>
            </w:tcBorders>
            <w:shd w:val="clear" w:color="auto" w:fill="auto"/>
            <w:vAlign w:val="bottom"/>
          </w:tcPr>
          <w:p w14:paraId="6AECF423" w14:textId="77777777"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14:paraId="59355925" w14:textId="77777777" w:rsidTr="00E71D12">
        <w:trPr>
          <w:trHeight w:val="615"/>
        </w:trPr>
        <w:tc>
          <w:tcPr>
            <w:tcW w:w="2583" w:type="dxa"/>
            <w:tcBorders>
              <w:top w:val="nil"/>
              <w:left w:val="single" w:sz="8" w:space="0" w:color="auto"/>
              <w:bottom w:val="dotted" w:sz="4" w:space="0" w:color="auto"/>
              <w:right w:val="dotted" w:sz="4" w:space="0" w:color="auto"/>
            </w:tcBorders>
            <w:shd w:val="clear" w:color="auto" w:fill="auto"/>
            <w:vAlign w:val="bottom"/>
          </w:tcPr>
          <w:p w14:paraId="1525EF47" w14:textId="77777777" w:rsidR="00FA16CC" w:rsidRPr="00202017" w:rsidRDefault="00FA16CC" w:rsidP="00E71D12">
            <w:pPr>
              <w:spacing w:after="0"/>
              <w:jc w:val="center"/>
              <w:rPr>
                <w:szCs w:val="24"/>
                <w:lang w:eastAsia="en-GB"/>
              </w:rPr>
            </w:pPr>
            <w:r w:rsidRPr="00202017">
              <w:rPr>
                <w:szCs w:val="24"/>
                <w:lang w:eastAsia="en-GB"/>
              </w:rPr>
              <w:t>gross operating surplus</w:t>
            </w:r>
          </w:p>
        </w:tc>
        <w:tc>
          <w:tcPr>
            <w:tcW w:w="3800" w:type="dxa"/>
            <w:tcBorders>
              <w:top w:val="nil"/>
              <w:left w:val="nil"/>
              <w:bottom w:val="dotted" w:sz="4" w:space="0" w:color="auto"/>
              <w:right w:val="dotted" w:sz="4" w:space="0" w:color="auto"/>
            </w:tcBorders>
            <w:shd w:val="clear" w:color="auto" w:fill="auto"/>
            <w:vAlign w:val="bottom"/>
          </w:tcPr>
          <w:p w14:paraId="6B593488" w14:textId="77777777" w:rsidR="00FA16CC" w:rsidRPr="00202017" w:rsidRDefault="00FA16CC" w:rsidP="00E71D12">
            <w:pPr>
              <w:spacing w:after="0"/>
              <w:jc w:val="center"/>
              <w:rPr>
                <w:szCs w:val="24"/>
                <w:lang w:eastAsia="en-GB"/>
              </w:rPr>
            </w:pPr>
            <w:r w:rsidRPr="00202017">
              <w:rPr>
                <w:szCs w:val="24"/>
                <w:lang w:eastAsia="en-GB"/>
              </w:rPr>
              <w:t>from the P&amp;L accounts</w:t>
            </w:r>
          </w:p>
        </w:tc>
        <w:tc>
          <w:tcPr>
            <w:tcW w:w="2122" w:type="dxa"/>
            <w:tcBorders>
              <w:top w:val="nil"/>
              <w:left w:val="nil"/>
              <w:bottom w:val="dotted" w:sz="4" w:space="0" w:color="auto"/>
              <w:right w:val="single" w:sz="8" w:space="0" w:color="auto"/>
            </w:tcBorders>
            <w:shd w:val="clear" w:color="auto" w:fill="auto"/>
            <w:vAlign w:val="bottom"/>
          </w:tcPr>
          <w:p w14:paraId="58413905" w14:textId="77777777"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14:paraId="7077C562" w14:textId="77777777" w:rsidTr="00E71D12">
        <w:trPr>
          <w:trHeight w:val="600"/>
        </w:trPr>
        <w:tc>
          <w:tcPr>
            <w:tcW w:w="2583" w:type="dxa"/>
            <w:tcBorders>
              <w:top w:val="nil"/>
              <w:left w:val="single" w:sz="8" w:space="0" w:color="auto"/>
              <w:bottom w:val="dotted" w:sz="4" w:space="0" w:color="auto"/>
              <w:right w:val="dotted" w:sz="4" w:space="0" w:color="auto"/>
            </w:tcBorders>
            <w:shd w:val="clear" w:color="auto" w:fill="auto"/>
            <w:vAlign w:val="bottom"/>
          </w:tcPr>
          <w:p w14:paraId="6EA9C298" w14:textId="77777777" w:rsidR="00FA16CC" w:rsidRPr="00202017" w:rsidRDefault="00FA16CC" w:rsidP="00E71D12">
            <w:pPr>
              <w:spacing w:after="0"/>
              <w:jc w:val="center"/>
              <w:rPr>
                <w:szCs w:val="24"/>
                <w:lang w:eastAsia="en-GB"/>
              </w:rPr>
            </w:pPr>
            <w:r w:rsidRPr="00202017">
              <w:rPr>
                <w:szCs w:val="24"/>
                <w:lang w:eastAsia="en-GB"/>
              </w:rPr>
              <w:t>net result</w:t>
            </w:r>
          </w:p>
        </w:tc>
        <w:tc>
          <w:tcPr>
            <w:tcW w:w="3800" w:type="dxa"/>
            <w:tcBorders>
              <w:top w:val="nil"/>
              <w:left w:val="nil"/>
              <w:bottom w:val="dotted" w:sz="4" w:space="0" w:color="auto"/>
              <w:right w:val="dotted" w:sz="4" w:space="0" w:color="auto"/>
            </w:tcBorders>
            <w:shd w:val="clear" w:color="auto" w:fill="auto"/>
            <w:vAlign w:val="bottom"/>
          </w:tcPr>
          <w:p w14:paraId="019B3F7A" w14:textId="77777777" w:rsidR="00FA16CC" w:rsidRPr="00202017" w:rsidRDefault="00FA16CC" w:rsidP="00E71D12">
            <w:pPr>
              <w:spacing w:after="0"/>
              <w:jc w:val="center"/>
              <w:rPr>
                <w:szCs w:val="24"/>
                <w:lang w:eastAsia="en-GB"/>
              </w:rPr>
            </w:pPr>
            <w:r w:rsidRPr="00202017">
              <w:rPr>
                <w:szCs w:val="24"/>
                <w:lang w:eastAsia="en-GB"/>
              </w:rPr>
              <w:t>from the P&amp;L accounts</w:t>
            </w:r>
          </w:p>
        </w:tc>
        <w:tc>
          <w:tcPr>
            <w:tcW w:w="2122" w:type="dxa"/>
            <w:tcBorders>
              <w:top w:val="nil"/>
              <w:left w:val="nil"/>
              <w:bottom w:val="dotted" w:sz="4" w:space="0" w:color="auto"/>
              <w:right w:val="single" w:sz="8" w:space="0" w:color="auto"/>
            </w:tcBorders>
            <w:shd w:val="clear" w:color="auto" w:fill="auto"/>
            <w:vAlign w:val="bottom"/>
          </w:tcPr>
          <w:p w14:paraId="3BDEE158" w14:textId="77777777"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14:paraId="4726D9B5" w14:textId="77777777" w:rsidTr="00E71D12">
        <w:trPr>
          <w:trHeight w:val="868"/>
        </w:trPr>
        <w:tc>
          <w:tcPr>
            <w:tcW w:w="2583" w:type="dxa"/>
            <w:tcBorders>
              <w:top w:val="nil"/>
              <w:left w:val="single" w:sz="8" w:space="0" w:color="auto"/>
              <w:bottom w:val="single" w:sz="8" w:space="0" w:color="auto"/>
              <w:right w:val="dotted" w:sz="4" w:space="0" w:color="auto"/>
            </w:tcBorders>
            <w:shd w:val="clear" w:color="auto" w:fill="auto"/>
            <w:vAlign w:val="bottom"/>
          </w:tcPr>
          <w:p w14:paraId="3DDC32CB" w14:textId="77777777" w:rsidR="00FA16CC" w:rsidRPr="00202017" w:rsidRDefault="00FA16CC" w:rsidP="00E71D12">
            <w:pPr>
              <w:spacing w:after="0"/>
              <w:jc w:val="center"/>
              <w:rPr>
                <w:szCs w:val="24"/>
                <w:lang w:eastAsia="en-GB"/>
              </w:rPr>
            </w:pPr>
            <w:r w:rsidRPr="00202017">
              <w:rPr>
                <w:szCs w:val="24"/>
                <w:lang w:eastAsia="en-GB"/>
              </w:rPr>
              <w:t>self-financing capacity (SFC)</w:t>
            </w:r>
          </w:p>
        </w:tc>
        <w:tc>
          <w:tcPr>
            <w:tcW w:w="3800" w:type="dxa"/>
            <w:tcBorders>
              <w:top w:val="nil"/>
              <w:left w:val="nil"/>
              <w:bottom w:val="single" w:sz="8" w:space="0" w:color="auto"/>
              <w:right w:val="dotted" w:sz="4" w:space="0" w:color="auto"/>
            </w:tcBorders>
            <w:shd w:val="clear" w:color="auto" w:fill="auto"/>
            <w:vAlign w:val="bottom"/>
          </w:tcPr>
          <w:p w14:paraId="439568B1" w14:textId="77777777" w:rsidR="00FA16CC" w:rsidRPr="00202017" w:rsidRDefault="00FA16CC" w:rsidP="00E71D12">
            <w:pPr>
              <w:spacing w:after="0"/>
              <w:jc w:val="center"/>
              <w:rPr>
                <w:szCs w:val="24"/>
                <w:lang w:eastAsia="en-GB"/>
              </w:rPr>
            </w:pPr>
            <w:r w:rsidRPr="00202017">
              <w:rPr>
                <w:szCs w:val="24"/>
                <w:lang w:eastAsia="en-GB"/>
              </w:rPr>
              <w:t>net result after tax + amortization – capitalized production</w:t>
            </w:r>
          </w:p>
        </w:tc>
        <w:tc>
          <w:tcPr>
            <w:tcW w:w="2122" w:type="dxa"/>
            <w:tcBorders>
              <w:top w:val="nil"/>
              <w:left w:val="nil"/>
              <w:bottom w:val="single" w:sz="8" w:space="0" w:color="auto"/>
              <w:right w:val="single" w:sz="8" w:space="0" w:color="auto"/>
            </w:tcBorders>
            <w:shd w:val="clear" w:color="auto" w:fill="auto"/>
            <w:vAlign w:val="bottom"/>
          </w:tcPr>
          <w:p w14:paraId="55DE2B10" w14:textId="77777777" w:rsidR="00FA16CC" w:rsidRPr="00202017" w:rsidRDefault="00FA16CC" w:rsidP="00E71D12">
            <w:pPr>
              <w:spacing w:after="0"/>
              <w:jc w:val="center"/>
              <w:rPr>
                <w:szCs w:val="24"/>
                <w:lang w:eastAsia="en-GB"/>
              </w:rPr>
            </w:pPr>
            <w:r w:rsidRPr="00202017">
              <w:rPr>
                <w:szCs w:val="24"/>
                <w:lang w:eastAsia="en-GB"/>
              </w:rPr>
              <w:t>negative</w:t>
            </w:r>
          </w:p>
        </w:tc>
      </w:tr>
    </w:tbl>
    <w:p w14:paraId="387AC6E0" w14:textId="77777777" w:rsidR="00FA16CC" w:rsidRPr="00202017" w:rsidRDefault="00FA16CC" w:rsidP="00FA16CC">
      <w:pPr>
        <w:spacing w:after="120"/>
        <w:jc w:val="left"/>
        <w:rPr>
          <w:snapToGrid w:val="0"/>
          <w:szCs w:val="24"/>
        </w:rPr>
      </w:pPr>
      <w:r w:rsidRPr="00202017">
        <w:rPr>
          <w:snapToGrid w:val="0"/>
          <w:vanish/>
          <w:szCs w:val="24"/>
        </w:rPr>
        <w:cr/>
      </w:r>
    </w:p>
    <w:p w14:paraId="592C5C36" w14:textId="77777777" w:rsidR="00FA16CC" w:rsidRPr="00202017" w:rsidRDefault="00FA16CC" w:rsidP="00FA16CC">
      <w:pPr>
        <w:keepNext/>
        <w:spacing w:after="120"/>
        <w:jc w:val="left"/>
        <w:rPr>
          <w:snapToGrid w:val="0"/>
          <w:szCs w:val="24"/>
        </w:rPr>
      </w:pPr>
      <w:r w:rsidRPr="00202017">
        <w:rPr>
          <w:snapToGrid w:val="0"/>
          <w:szCs w:val="24"/>
        </w:rPr>
        <w:t>Following ratios are calculated:</w:t>
      </w:r>
    </w:p>
    <w:tbl>
      <w:tblPr>
        <w:tblW w:w="8804" w:type="dxa"/>
        <w:tblInd w:w="93" w:type="dxa"/>
        <w:tblLook w:val="0000" w:firstRow="0" w:lastRow="0" w:firstColumn="0" w:lastColumn="0" w:noHBand="0" w:noVBand="0"/>
      </w:tblPr>
      <w:tblGrid>
        <w:gridCol w:w="1740"/>
        <w:gridCol w:w="2386"/>
        <w:gridCol w:w="1701"/>
        <w:gridCol w:w="1559"/>
        <w:gridCol w:w="1418"/>
      </w:tblGrid>
      <w:tr w:rsidR="00FA16CC" w:rsidRPr="00202017" w14:paraId="527574CB" w14:textId="77777777" w:rsidTr="00E71D12">
        <w:trPr>
          <w:trHeight w:val="615"/>
        </w:trPr>
        <w:tc>
          <w:tcPr>
            <w:tcW w:w="1740" w:type="dxa"/>
            <w:tcBorders>
              <w:top w:val="single" w:sz="8" w:space="0" w:color="auto"/>
              <w:left w:val="dotted" w:sz="4" w:space="0" w:color="auto"/>
              <w:bottom w:val="single" w:sz="8" w:space="0" w:color="auto"/>
              <w:right w:val="nil"/>
            </w:tcBorders>
            <w:shd w:val="clear" w:color="auto" w:fill="FFCC00"/>
            <w:noWrap/>
            <w:vAlign w:val="bottom"/>
          </w:tcPr>
          <w:p w14:paraId="15DA5F7B" w14:textId="77777777" w:rsidR="00FA16CC" w:rsidRPr="00202017" w:rsidRDefault="00FA16CC" w:rsidP="00E71D12">
            <w:pPr>
              <w:keepNext/>
              <w:spacing w:after="0"/>
              <w:jc w:val="center"/>
              <w:rPr>
                <w:b/>
                <w:bCs/>
                <w:szCs w:val="24"/>
                <w:lang w:eastAsia="en-GB"/>
              </w:rPr>
            </w:pPr>
            <w:r w:rsidRPr="00202017">
              <w:rPr>
                <w:b/>
                <w:bCs/>
                <w:szCs w:val="24"/>
                <w:lang w:eastAsia="en-GB"/>
              </w:rPr>
              <w:t>Ratio</w:t>
            </w:r>
          </w:p>
        </w:tc>
        <w:tc>
          <w:tcPr>
            <w:tcW w:w="2386" w:type="dxa"/>
            <w:tcBorders>
              <w:top w:val="single" w:sz="8" w:space="0" w:color="auto"/>
              <w:left w:val="nil"/>
              <w:bottom w:val="single" w:sz="8" w:space="0" w:color="auto"/>
              <w:right w:val="dotted" w:sz="4" w:space="0" w:color="auto"/>
            </w:tcBorders>
            <w:shd w:val="clear" w:color="auto" w:fill="FFCC00"/>
            <w:vAlign w:val="bottom"/>
          </w:tcPr>
          <w:p w14:paraId="758DBFAE" w14:textId="77777777" w:rsidR="00FA16CC" w:rsidRPr="00202017" w:rsidRDefault="00FA16CC" w:rsidP="00E71D12">
            <w:pPr>
              <w:keepNext/>
              <w:spacing w:after="0"/>
              <w:jc w:val="center"/>
              <w:rPr>
                <w:b/>
                <w:bCs/>
                <w:szCs w:val="24"/>
                <w:lang w:eastAsia="en-GB"/>
              </w:rPr>
            </w:pPr>
            <w:r w:rsidRPr="00202017">
              <w:rPr>
                <w:b/>
                <w:bCs/>
                <w:szCs w:val="24"/>
                <w:lang w:eastAsia="en-GB"/>
              </w:rPr>
              <w:t>Formula</w:t>
            </w:r>
          </w:p>
        </w:tc>
        <w:tc>
          <w:tcPr>
            <w:tcW w:w="1701" w:type="dxa"/>
            <w:tcBorders>
              <w:top w:val="single" w:sz="8" w:space="0" w:color="auto"/>
              <w:left w:val="nil"/>
              <w:bottom w:val="single" w:sz="8" w:space="0" w:color="auto"/>
              <w:right w:val="dotted" w:sz="4" w:space="0" w:color="auto"/>
            </w:tcBorders>
            <w:shd w:val="clear" w:color="auto" w:fill="FFCC00"/>
            <w:vAlign w:val="bottom"/>
          </w:tcPr>
          <w:p w14:paraId="59FF79C9" w14:textId="77777777" w:rsidR="00FA16CC" w:rsidRPr="00202017" w:rsidRDefault="00FA16CC" w:rsidP="00E71D12">
            <w:pPr>
              <w:keepNext/>
              <w:spacing w:after="0"/>
              <w:jc w:val="center"/>
              <w:rPr>
                <w:b/>
                <w:bCs/>
                <w:szCs w:val="24"/>
                <w:lang w:eastAsia="en-GB"/>
              </w:rPr>
            </w:pPr>
            <w:r w:rsidRPr="00202017">
              <w:rPr>
                <w:b/>
                <w:bCs/>
                <w:szCs w:val="24"/>
                <w:lang w:eastAsia="en-GB"/>
              </w:rPr>
              <w:t>Unfavourable if</w:t>
            </w:r>
          </w:p>
        </w:tc>
        <w:tc>
          <w:tcPr>
            <w:tcW w:w="1559" w:type="dxa"/>
            <w:tcBorders>
              <w:top w:val="single" w:sz="8" w:space="0" w:color="auto"/>
              <w:left w:val="nil"/>
              <w:bottom w:val="single" w:sz="8" w:space="0" w:color="auto"/>
              <w:right w:val="nil"/>
            </w:tcBorders>
            <w:shd w:val="clear" w:color="auto" w:fill="FFCC00"/>
            <w:vAlign w:val="bottom"/>
          </w:tcPr>
          <w:p w14:paraId="38EFEC5C" w14:textId="77777777" w:rsidR="00FA16CC" w:rsidRPr="00202017" w:rsidRDefault="00FA16CC" w:rsidP="00E71D12">
            <w:pPr>
              <w:keepNext/>
              <w:spacing w:after="0"/>
              <w:jc w:val="center"/>
              <w:rPr>
                <w:b/>
                <w:bCs/>
                <w:szCs w:val="24"/>
                <w:lang w:eastAsia="en-GB"/>
              </w:rPr>
            </w:pPr>
            <w:r w:rsidRPr="00202017">
              <w:rPr>
                <w:b/>
                <w:bCs/>
                <w:szCs w:val="24"/>
                <w:lang w:eastAsia="en-GB"/>
              </w:rPr>
              <w:t>Average if</w:t>
            </w:r>
          </w:p>
        </w:tc>
        <w:tc>
          <w:tcPr>
            <w:tcW w:w="1418" w:type="dxa"/>
            <w:tcBorders>
              <w:top w:val="single" w:sz="8" w:space="0" w:color="auto"/>
              <w:left w:val="dotted" w:sz="4" w:space="0" w:color="auto"/>
              <w:bottom w:val="single" w:sz="8" w:space="0" w:color="auto"/>
              <w:right w:val="single" w:sz="8" w:space="0" w:color="auto"/>
            </w:tcBorders>
            <w:shd w:val="clear" w:color="auto" w:fill="FFCC00"/>
            <w:vAlign w:val="bottom"/>
          </w:tcPr>
          <w:p w14:paraId="674B652E" w14:textId="77777777" w:rsidR="00FA16CC" w:rsidRPr="00202017" w:rsidRDefault="00FA16CC" w:rsidP="00E71D12">
            <w:pPr>
              <w:keepNext/>
              <w:spacing w:after="0"/>
              <w:jc w:val="center"/>
              <w:rPr>
                <w:b/>
                <w:bCs/>
                <w:szCs w:val="24"/>
                <w:lang w:eastAsia="en-GB"/>
              </w:rPr>
            </w:pPr>
            <w:r w:rsidRPr="00202017">
              <w:rPr>
                <w:b/>
                <w:bCs/>
                <w:szCs w:val="24"/>
                <w:lang w:eastAsia="en-GB"/>
              </w:rPr>
              <w:t>Favourable if</w:t>
            </w:r>
          </w:p>
        </w:tc>
      </w:tr>
      <w:tr w:rsidR="00FA16CC" w:rsidRPr="00202017" w14:paraId="1F27581B" w14:textId="77777777" w:rsidTr="00E71D12">
        <w:trPr>
          <w:trHeight w:val="900"/>
        </w:trPr>
        <w:tc>
          <w:tcPr>
            <w:tcW w:w="1740" w:type="dxa"/>
            <w:tcBorders>
              <w:top w:val="nil"/>
              <w:left w:val="dotted" w:sz="4" w:space="0" w:color="auto"/>
              <w:bottom w:val="dotted" w:sz="4" w:space="0" w:color="auto"/>
              <w:right w:val="dotted" w:sz="4" w:space="0" w:color="auto"/>
            </w:tcBorders>
            <w:shd w:val="clear" w:color="auto" w:fill="auto"/>
            <w:vAlign w:val="bottom"/>
          </w:tcPr>
          <w:p w14:paraId="7F0E7CD7" w14:textId="77777777" w:rsidR="00FA16CC" w:rsidRPr="00202017" w:rsidRDefault="00FA16CC" w:rsidP="00E71D12">
            <w:pPr>
              <w:spacing w:after="0"/>
              <w:jc w:val="center"/>
              <w:rPr>
                <w:szCs w:val="24"/>
                <w:lang w:eastAsia="en-GB"/>
              </w:rPr>
            </w:pPr>
            <w:r w:rsidRPr="00202017">
              <w:rPr>
                <w:szCs w:val="24"/>
                <w:lang w:eastAsia="en-GB"/>
              </w:rPr>
              <w:t>general liquidity</w:t>
            </w:r>
          </w:p>
        </w:tc>
        <w:tc>
          <w:tcPr>
            <w:tcW w:w="2386" w:type="dxa"/>
            <w:tcBorders>
              <w:top w:val="nil"/>
              <w:left w:val="nil"/>
              <w:bottom w:val="dotted" w:sz="4" w:space="0" w:color="auto"/>
              <w:right w:val="dotted" w:sz="4" w:space="0" w:color="auto"/>
            </w:tcBorders>
            <w:shd w:val="clear" w:color="auto" w:fill="auto"/>
            <w:vAlign w:val="bottom"/>
          </w:tcPr>
          <w:p w14:paraId="69D82FED" w14:textId="77777777" w:rsidR="00FA16CC" w:rsidRPr="00202017" w:rsidRDefault="00FA16CC" w:rsidP="00E71D12">
            <w:pPr>
              <w:spacing w:after="0"/>
              <w:jc w:val="center"/>
              <w:rPr>
                <w:szCs w:val="24"/>
                <w:lang w:eastAsia="en-GB"/>
              </w:rPr>
            </w:pPr>
            <w:r w:rsidRPr="00202017">
              <w:rPr>
                <w:szCs w:val="24"/>
                <w:lang w:eastAsia="en-GB"/>
              </w:rPr>
              <w:t>current assets/short-term debts</w:t>
            </w:r>
          </w:p>
        </w:tc>
        <w:tc>
          <w:tcPr>
            <w:tcW w:w="1701" w:type="dxa"/>
            <w:tcBorders>
              <w:top w:val="nil"/>
              <w:left w:val="nil"/>
              <w:bottom w:val="dotted" w:sz="4" w:space="0" w:color="auto"/>
              <w:right w:val="dotted" w:sz="4" w:space="0" w:color="auto"/>
            </w:tcBorders>
            <w:shd w:val="clear" w:color="auto" w:fill="auto"/>
            <w:vAlign w:val="bottom"/>
          </w:tcPr>
          <w:p w14:paraId="25B37FA0" w14:textId="77777777" w:rsidR="00FA16CC" w:rsidRPr="00202017" w:rsidRDefault="00FA16CC" w:rsidP="00E71D12">
            <w:pPr>
              <w:spacing w:after="0"/>
              <w:jc w:val="center"/>
              <w:rPr>
                <w:szCs w:val="24"/>
                <w:lang w:eastAsia="en-GB"/>
              </w:rPr>
            </w:pPr>
            <w:r w:rsidRPr="00202017">
              <w:rPr>
                <w:szCs w:val="24"/>
                <w:lang w:eastAsia="en-GB"/>
              </w:rPr>
              <w:t>below 1</w:t>
            </w:r>
          </w:p>
        </w:tc>
        <w:tc>
          <w:tcPr>
            <w:tcW w:w="1559" w:type="dxa"/>
            <w:tcBorders>
              <w:top w:val="nil"/>
              <w:left w:val="nil"/>
              <w:bottom w:val="dotted" w:sz="4" w:space="0" w:color="auto"/>
              <w:right w:val="nil"/>
            </w:tcBorders>
            <w:shd w:val="clear" w:color="auto" w:fill="auto"/>
            <w:vAlign w:val="bottom"/>
          </w:tcPr>
          <w:p w14:paraId="7233DF82" w14:textId="77777777" w:rsidR="00FA16CC" w:rsidRPr="00202017" w:rsidRDefault="00FA16CC" w:rsidP="00E71D12">
            <w:pPr>
              <w:spacing w:after="0"/>
              <w:jc w:val="center"/>
              <w:rPr>
                <w:szCs w:val="24"/>
                <w:lang w:eastAsia="en-GB"/>
              </w:rPr>
            </w:pPr>
            <w:r w:rsidRPr="00202017">
              <w:rPr>
                <w:szCs w:val="24"/>
                <w:lang w:eastAsia="en-GB"/>
              </w:rPr>
              <w:t>between 1  and 1.25</w:t>
            </w:r>
          </w:p>
        </w:tc>
        <w:tc>
          <w:tcPr>
            <w:tcW w:w="1418" w:type="dxa"/>
            <w:tcBorders>
              <w:top w:val="nil"/>
              <w:left w:val="dotted" w:sz="4" w:space="0" w:color="auto"/>
              <w:bottom w:val="dotted" w:sz="4" w:space="0" w:color="auto"/>
              <w:right w:val="single" w:sz="8" w:space="0" w:color="auto"/>
            </w:tcBorders>
            <w:shd w:val="clear" w:color="auto" w:fill="auto"/>
            <w:vAlign w:val="bottom"/>
          </w:tcPr>
          <w:p w14:paraId="4B127BE2" w14:textId="77777777" w:rsidR="00FA16CC" w:rsidRPr="00202017" w:rsidRDefault="00FA16CC" w:rsidP="00E71D12">
            <w:pPr>
              <w:spacing w:after="0"/>
              <w:jc w:val="center"/>
              <w:rPr>
                <w:szCs w:val="24"/>
                <w:lang w:eastAsia="en-GB"/>
              </w:rPr>
            </w:pPr>
            <w:r w:rsidRPr="00202017">
              <w:rPr>
                <w:szCs w:val="24"/>
                <w:lang w:eastAsia="en-GB"/>
              </w:rPr>
              <w:t>Above 1.25</w:t>
            </w:r>
          </w:p>
        </w:tc>
      </w:tr>
      <w:tr w:rsidR="00FA16CC" w:rsidRPr="00202017" w14:paraId="0F784734" w14:textId="77777777" w:rsidTr="00E71D12">
        <w:trPr>
          <w:trHeight w:val="900"/>
        </w:trPr>
        <w:tc>
          <w:tcPr>
            <w:tcW w:w="1740" w:type="dxa"/>
            <w:tcBorders>
              <w:top w:val="nil"/>
              <w:left w:val="dotted" w:sz="4" w:space="0" w:color="auto"/>
              <w:bottom w:val="dotted" w:sz="4" w:space="0" w:color="auto"/>
              <w:right w:val="dotted" w:sz="4" w:space="0" w:color="auto"/>
            </w:tcBorders>
            <w:shd w:val="clear" w:color="auto" w:fill="auto"/>
            <w:vAlign w:val="bottom"/>
          </w:tcPr>
          <w:p w14:paraId="436BD6D4" w14:textId="77777777" w:rsidR="00FA16CC" w:rsidRPr="00202017" w:rsidRDefault="00FA16CC" w:rsidP="00E71D12">
            <w:pPr>
              <w:spacing w:after="0"/>
              <w:jc w:val="center"/>
              <w:rPr>
                <w:szCs w:val="24"/>
                <w:lang w:eastAsia="en-GB"/>
              </w:rPr>
            </w:pPr>
            <w:r w:rsidRPr="00202017">
              <w:rPr>
                <w:szCs w:val="24"/>
                <w:lang w:eastAsia="en-GB"/>
              </w:rPr>
              <w:t>financial independence</w:t>
            </w:r>
          </w:p>
        </w:tc>
        <w:tc>
          <w:tcPr>
            <w:tcW w:w="2386" w:type="dxa"/>
            <w:tcBorders>
              <w:top w:val="nil"/>
              <w:left w:val="nil"/>
              <w:bottom w:val="dotted" w:sz="4" w:space="0" w:color="auto"/>
              <w:right w:val="dotted" w:sz="4" w:space="0" w:color="auto"/>
            </w:tcBorders>
            <w:shd w:val="clear" w:color="auto" w:fill="auto"/>
            <w:vAlign w:val="bottom"/>
          </w:tcPr>
          <w:p w14:paraId="1B1D66BF" w14:textId="77777777" w:rsidR="00FA16CC" w:rsidRPr="00202017" w:rsidRDefault="00FA16CC" w:rsidP="00E71D12">
            <w:pPr>
              <w:spacing w:after="0"/>
              <w:jc w:val="center"/>
              <w:rPr>
                <w:szCs w:val="24"/>
                <w:lang w:eastAsia="en-GB"/>
              </w:rPr>
            </w:pPr>
            <w:r w:rsidRPr="00202017">
              <w:rPr>
                <w:szCs w:val="24"/>
                <w:lang w:eastAsia="en-GB"/>
              </w:rPr>
              <w:t>own funds/total liabilities</w:t>
            </w:r>
          </w:p>
        </w:tc>
        <w:tc>
          <w:tcPr>
            <w:tcW w:w="1701" w:type="dxa"/>
            <w:tcBorders>
              <w:top w:val="nil"/>
              <w:left w:val="nil"/>
              <w:bottom w:val="dotted" w:sz="4" w:space="0" w:color="auto"/>
              <w:right w:val="dotted" w:sz="4" w:space="0" w:color="auto"/>
            </w:tcBorders>
            <w:shd w:val="clear" w:color="auto" w:fill="auto"/>
            <w:vAlign w:val="bottom"/>
          </w:tcPr>
          <w:p w14:paraId="51FB7E29" w14:textId="77777777" w:rsidR="00FA16CC" w:rsidRPr="00202017" w:rsidRDefault="00FA16CC" w:rsidP="00E71D12">
            <w:pPr>
              <w:spacing w:after="0"/>
              <w:jc w:val="center"/>
              <w:rPr>
                <w:szCs w:val="24"/>
                <w:lang w:eastAsia="en-GB"/>
              </w:rPr>
            </w:pPr>
            <w:r w:rsidRPr="00202017">
              <w:rPr>
                <w:szCs w:val="24"/>
                <w:lang w:eastAsia="en-GB"/>
              </w:rPr>
              <w:t>below 0.20</w:t>
            </w:r>
          </w:p>
        </w:tc>
        <w:tc>
          <w:tcPr>
            <w:tcW w:w="1559" w:type="dxa"/>
            <w:tcBorders>
              <w:top w:val="nil"/>
              <w:left w:val="nil"/>
              <w:bottom w:val="dotted" w:sz="4" w:space="0" w:color="auto"/>
              <w:right w:val="nil"/>
            </w:tcBorders>
            <w:shd w:val="clear" w:color="auto" w:fill="auto"/>
            <w:vAlign w:val="bottom"/>
          </w:tcPr>
          <w:p w14:paraId="3823BD64" w14:textId="77777777" w:rsidR="00FA16CC" w:rsidRPr="00202017" w:rsidRDefault="00FA16CC" w:rsidP="00E71D12">
            <w:pPr>
              <w:spacing w:after="0"/>
              <w:jc w:val="center"/>
              <w:rPr>
                <w:szCs w:val="24"/>
                <w:lang w:eastAsia="en-GB"/>
              </w:rPr>
            </w:pPr>
            <w:r w:rsidRPr="00202017">
              <w:rPr>
                <w:szCs w:val="24"/>
                <w:lang w:eastAsia="en-GB"/>
              </w:rPr>
              <w:t>between 0.20 and 0.40</w:t>
            </w:r>
          </w:p>
        </w:tc>
        <w:tc>
          <w:tcPr>
            <w:tcW w:w="1418" w:type="dxa"/>
            <w:tcBorders>
              <w:top w:val="nil"/>
              <w:left w:val="dotted" w:sz="4" w:space="0" w:color="auto"/>
              <w:bottom w:val="dotted" w:sz="4" w:space="0" w:color="auto"/>
              <w:right w:val="single" w:sz="8" w:space="0" w:color="auto"/>
            </w:tcBorders>
            <w:shd w:val="clear" w:color="auto" w:fill="auto"/>
            <w:vAlign w:val="bottom"/>
          </w:tcPr>
          <w:p w14:paraId="4E257EA4" w14:textId="77777777" w:rsidR="00FA16CC" w:rsidRPr="00202017" w:rsidRDefault="00FA16CC" w:rsidP="00E71D12">
            <w:pPr>
              <w:spacing w:after="0"/>
              <w:jc w:val="center"/>
              <w:rPr>
                <w:szCs w:val="24"/>
                <w:lang w:eastAsia="en-GB"/>
              </w:rPr>
            </w:pPr>
            <w:r w:rsidRPr="00202017">
              <w:rPr>
                <w:szCs w:val="24"/>
                <w:lang w:eastAsia="en-GB"/>
              </w:rPr>
              <w:t>above 0.40</w:t>
            </w:r>
          </w:p>
        </w:tc>
      </w:tr>
      <w:tr w:rsidR="00FA16CC" w:rsidRPr="00202017" w14:paraId="40542679" w14:textId="77777777" w:rsidTr="00E71D12">
        <w:trPr>
          <w:trHeight w:val="900"/>
        </w:trPr>
        <w:tc>
          <w:tcPr>
            <w:tcW w:w="1740" w:type="dxa"/>
            <w:tcBorders>
              <w:top w:val="nil"/>
              <w:left w:val="dotted" w:sz="4" w:space="0" w:color="auto"/>
              <w:bottom w:val="dotted" w:sz="4" w:space="0" w:color="auto"/>
              <w:right w:val="dotted" w:sz="4" w:space="0" w:color="auto"/>
            </w:tcBorders>
            <w:shd w:val="clear" w:color="auto" w:fill="auto"/>
            <w:vAlign w:val="bottom"/>
          </w:tcPr>
          <w:p w14:paraId="14503F67" w14:textId="77777777" w:rsidR="00FA16CC" w:rsidRPr="00202017" w:rsidRDefault="00FA16CC" w:rsidP="00E71D12">
            <w:pPr>
              <w:spacing w:after="0"/>
              <w:jc w:val="center"/>
              <w:rPr>
                <w:szCs w:val="24"/>
                <w:lang w:eastAsia="en-GB"/>
              </w:rPr>
            </w:pPr>
            <w:r w:rsidRPr="00202017">
              <w:rPr>
                <w:szCs w:val="24"/>
                <w:lang w:eastAsia="en-GB"/>
              </w:rPr>
              <w:t>indebtedness</w:t>
            </w:r>
          </w:p>
        </w:tc>
        <w:tc>
          <w:tcPr>
            <w:tcW w:w="2386" w:type="dxa"/>
            <w:tcBorders>
              <w:top w:val="nil"/>
              <w:left w:val="nil"/>
              <w:bottom w:val="dotted" w:sz="4" w:space="0" w:color="auto"/>
              <w:right w:val="dotted" w:sz="4" w:space="0" w:color="auto"/>
            </w:tcBorders>
            <w:shd w:val="clear" w:color="auto" w:fill="auto"/>
            <w:vAlign w:val="bottom"/>
          </w:tcPr>
          <w:p w14:paraId="659D1E05" w14:textId="77777777" w:rsidR="00FA16CC" w:rsidRPr="00202017" w:rsidRDefault="00FA16CC" w:rsidP="00E71D12">
            <w:pPr>
              <w:spacing w:after="0"/>
              <w:jc w:val="center"/>
              <w:rPr>
                <w:szCs w:val="24"/>
                <w:lang w:eastAsia="en-GB"/>
              </w:rPr>
            </w:pPr>
            <w:r w:rsidRPr="00202017">
              <w:rPr>
                <w:szCs w:val="24"/>
                <w:lang w:eastAsia="en-GB"/>
              </w:rPr>
              <w:t>own funds/medium &amp; long-term debts (MLT)</w:t>
            </w:r>
          </w:p>
        </w:tc>
        <w:tc>
          <w:tcPr>
            <w:tcW w:w="1701" w:type="dxa"/>
            <w:tcBorders>
              <w:top w:val="nil"/>
              <w:left w:val="nil"/>
              <w:bottom w:val="dotted" w:sz="4" w:space="0" w:color="auto"/>
              <w:right w:val="dotted" w:sz="4" w:space="0" w:color="auto"/>
            </w:tcBorders>
            <w:shd w:val="clear" w:color="auto" w:fill="auto"/>
            <w:vAlign w:val="bottom"/>
          </w:tcPr>
          <w:p w14:paraId="57958A38" w14:textId="77777777" w:rsidR="00FA16CC" w:rsidRPr="00202017" w:rsidRDefault="00FA16CC" w:rsidP="00E71D12">
            <w:pPr>
              <w:spacing w:after="0"/>
              <w:jc w:val="center"/>
              <w:rPr>
                <w:szCs w:val="24"/>
                <w:lang w:eastAsia="en-GB"/>
              </w:rPr>
            </w:pPr>
            <w:r w:rsidRPr="00202017">
              <w:rPr>
                <w:szCs w:val="24"/>
                <w:lang w:eastAsia="en-GB"/>
              </w:rPr>
              <w:t>below 0.30</w:t>
            </w:r>
          </w:p>
        </w:tc>
        <w:tc>
          <w:tcPr>
            <w:tcW w:w="1559" w:type="dxa"/>
            <w:tcBorders>
              <w:top w:val="nil"/>
              <w:left w:val="nil"/>
              <w:bottom w:val="dotted" w:sz="4" w:space="0" w:color="auto"/>
              <w:right w:val="nil"/>
            </w:tcBorders>
            <w:shd w:val="clear" w:color="auto" w:fill="auto"/>
            <w:vAlign w:val="bottom"/>
          </w:tcPr>
          <w:p w14:paraId="1EE46F78" w14:textId="77777777" w:rsidR="00FA16CC" w:rsidRPr="00202017" w:rsidRDefault="00FA16CC" w:rsidP="00E71D12">
            <w:pPr>
              <w:spacing w:after="0"/>
              <w:jc w:val="center"/>
              <w:rPr>
                <w:szCs w:val="24"/>
                <w:lang w:eastAsia="en-GB"/>
              </w:rPr>
            </w:pPr>
            <w:r w:rsidRPr="00202017">
              <w:rPr>
                <w:szCs w:val="24"/>
                <w:lang w:eastAsia="en-GB"/>
              </w:rPr>
              <w:t>between 0.30 and 0.60</w:t>
            </w:r>
          </w:p>
        </w:tc>
        <w:tc>
          <w:tcPr>
            <w:tcW w:w="1418" w:type="dxa"/>
            <w:tcBorders>
              <w:top w:val="nil"/>
              <w:left w:val="dotted" w:sz="4" w:space="0" w:color="auto"/>
              <w:bottom w:val="dotted" w:sz="4" w:space="0" w:color="auto"/>
              <w:right w:val="single" w:sz="8" w:space="0" w:color="auto"/>
            </w:tcBorders>
            <w:shd w:val="clear" w:color="auto" w:fill="auto"/>
            <w:vAlign w:val="bottom"/>
          </w:tcPr>
          <w:p w14:paraId="3C95225D" w14:textId="77777777" w:rsidR="00FA16CC" w:rsidRPr="00202017" w:rsidRDefault="00FA16CC" w:rsidP="00E71D12">
            <w:pPr>
              <w:spacing w:after="0"/>
              <w:jc w:val="center"/>
              <w:rPr>
                <w:szCs w:val="24"/>
                <w:lang w:eastAsia="en-GB"/>
              </w:rPr>
            </w:pPr>
            <w:r w:rsidRPr="00202017">
              <w:rPr>
                <w:szCs w:val="24"/>
                <w:lang w:eastAsia="en-GB"/>
              </w:rPr>
              <w:t>above 0.60</w:t>
            </w:r>
          </w:p>
        </w:tc>
      </w:tr>
      <w:tr w:rsidR="00FA16CC" w:rsidRPr="00202017" w14:paraId="1B7D58F2" w14:textId="77777777" w:rsidTr="00E71D12">
        <w:trPr>
          <w:trHeight w:val="1500"/>
        </w:trPr>
        <w:tc>
          <w:tcPr>
            <w:tcW w:w="1740" w:type="dxa"/>
            <w:tcBorders>
              <w:top w:val="nil"/>
              <w:left w:val="dotted" w:sz="4" w:space="0" w:color="auto"/>
              <w:bottom w:val="dotted" w:sz="4" w:space="0" w:color="auto"/>
              <w:right w:val="dotted" w:sz="4" w:space="0" w:color="auto"/>
            </w:tcBorders>
            <w:shd w:val="clear" w:color="auto" w:fill="auto"/>
            <w:vAlign w:val="bottom"/>
          </w:tcPr>
          <w:p w14:paraId="7754BDE1" w14:textId="77777777" w:rsidR="00FA16CC" w:rsidRPr="00202017" w:rsidRDefault="00FA16CC" w:rsidP="00E71D12">
            <w:pPr>
              <w:spacing w:after="0"/>
              <w:jc w:val="center"/>
              <w:rPr>
                <w:szCs w:val="24"/>
                <w:lang w:eastAsia="en-GB"/>
              </w:rPr>
            </w:pPr>
            <w:r w:rsidRPr="00202017">
              <w:rPr>
                <w:szCs w:val="24"/>
                <w:lang w:eastAsia="en-GB"/>
              </w:rPr>
              <w:t>coverage of deposits and borrowed funds by the SFC</w:t>
            </w:r>
          </w:p>
        </w:tc>
        <w:tc>
          <w:tcPr>
            <w:tcW w:w="2386" w:type="dxa"/>
            <w:tcBorders>
              <w:top w:val="nil"/>
              <w:left w:val="nil"/>
              <w:bottom w:val="dotted" w:sz="4" w:space="0" w:color="auto"/>
              <w:right w:val="dotted" w:sz="4" w:space="0" w:color="auto"/>
            </w:tcBorders>
            <w:shd w:val="clear" w:color="auto" w:fill="auto"/>
            <w:vAlign w:val="bottom"/>
          </w:tcPr>
          <w:p w14:paraId="09055D59" w14:textId="77777777" w:rsidR="00FA16CC" w:rsidRPr="00202017" w:rsidRDefault="00FA16CC" w:rsidP="00E71D12">
            <w:pPr>
              <w:spacing w:after="0"/>
              <w:jc w:val="center"/>
              <w:rPr>
                <w:szCs w:val="24"/>
                <w:lang w:eastAsia="en-GB"/>
              </w:rPr>
            </w:pPr>
            <w:r w:rsidRPr="00202017">
              <w:rPr>
                <w:szCs w:val="24"/>
                <w:lang w:eastAsia="en-GB"/>
              </w:rPr>
              <w:t>SFC / MLT debts</w:t>
            </w:r>
          </w:p>
        </w:tc>
        <w:tc>
          <w:tcPr>
            <w:tcW w:w="1701" w:type="dxa"/>
            <w:tcBorders>
              <w:top w:val="nil"/>
              <w:left w:val="nil"/>
              <w:bottom w:val="dotted" w:sz="4" w:space="0" w:color="auto"/>
              <w:right w:val="dotted" w:sz="4" w:space="0" w:color="auto"/>
            </w:tcBorders>
            <w:shd w:val="clear" w:color="auto" w:fill="auto"/>
            <w:vAlign w:val="bottom"/>
          </w:tcPr>
          <w:p w14:paraId="2DDAD582" w14:textId="77777777" w:rsidR="00FA16CC" w:rsidRPr="00202017" w:rsidRDefault="00FA16CC" w:rsidP="00E71D12">
            <w:pPr>
              <w:spacing w:after="0"/>
              <w:jc w:val="center"/>
              <w:rPr>
                <w:szCs w:val="24"/>
                <w:lang w:eastAsia="en-GB"/>
              </w:rPr>
            </w:pPr>
            <w:r w:rsidRPr="00202017">
              <w:rPr>
                <w:szCs w:val="24"/>
                <w:lang w:eastAsia="en-GB"/>
              </w:rPr>
              <w:t>below 0.25</w:t>
            </w:r>
          </w:p>
        </w:tc>
        <w:tc>
          <w:tcPr>
            <w:tcW w:w="1559" w:type="dxa"/>
            <w:tcBorders>
              <w:top w:val="nil"/>
              <w:left w:val="nil"/>
              <w:bottom w:val="dotted" w:sz="4" w:space="0" w:color="auto"/>
              <w:right w:val="nil"/>
            </w:tcBorders>
            <w:shd w:val="clear" w:color="auto" w:fill="auto"/>
            <w:vAlign w:val="bottom"/>
          </w:tcPr>
          <w:p w14:paraId="3F3D9C37" w14:textId="77777777" w:rsidR="00FA16CC" w:rsidRPr="00202017" w:rsidRDefault="00FA16CC" w:rsidP="00E71D12">
            <w:pPr>
              <w:spacing w:after="0"/>
              <w:jc w:val="center"/>
              <w:rPr>
                <w:szCs w:val="24"/>
                <w:lang w:eastAsia="en-GB"/>
              </w:rPr>
            </w:pPr>
            <w:r w:rsidRPr="00202017">
              <w:rPr>
                <w:szCs w:val="24"/>
                <w:lang w:eastAsia="en-GB"/>
              </w:rPr>
              <w:t>between 0.25 and 0.50</w:t>
            </w:r>
          </w:p>
        </w:tc>
        <w:tc>
          <w:tcPr>
            <w:tcW w:w="1418" w:type="dxa"/>
            <w:tcBorders>
              <w:top w:val="nil"/>
              <w:left w:val="dotted" w:sz="4" w:space="0" w:color="auto"/>
              <w:bottom w:val="dotted" w:sz="4" w:space="0" w:color="auto"/>
              <w:right w:val="single" w:sz="8" w:space="0" w:color="auto"/>
            </w:tcBorders>
            <w:shd w:val="clear" w:color="auto" w:fill="auto"/>
            <w:vAlign w:val="bottom"/>
          </w:tcPr>
          <w:p w14:paraId="399EC877" w14:textId="77777777" w:rsidR="00FA16CC" w:rsidRPr="00202017" w:rsidRDefault="00FA16CC" w:rsidP="00E71D12">
            <w:pPr>
              <w:spacing w:after="0"/>
              <w:jc w:val="center"/>
              <w:rPr>
                <w:szCs w:val="24"/>
                <w:lang w:eastAsia="en-GB"/>
              </w:rPr>
            </w:pPr>
            <w:r w:rsidRPr="00202017">
              <w:rPr>
                <w:szCs w:val="24"/>
                <w:lang w:eastAsia="en-GB"/>
              </w:rPr>
              <w:t>above 0.50</w:t>
            </w:r>
          </w:p>
        </w:tc>
      </w:tr>
      <w:tr w:rsidR="00FA16CC" w:rsidRPr="00202017" w14:paraId="4B2FECDD" w14:textId="77777777" w:rsidTr="00E71D12">
        <w:trPr>
          <w:trHeight w:val="915"/>
        </w:trPr>
        <w:tc>
          <w:tcPr>
            <w:tcW w:w="1740" w:type="dxa"/>
            <w:tcBorders>
              <w:top w:val="nil"/>
              <w:left w:val="dotted" w:sz="4" w:space="0" w:color="auto"/>
              <w:bottom w:val="single" w:sz="8" w:space="0" w:color="auto"/>
              <w:right w:val="dotted" w:sz="4" w:space="0" w:color="auto"/>
            </w:tcBorders>
            <w:shd w:val="clear" w:color="auto" w:fill="auto"/>
            <w:vAlign w:val="bottom"/>
          </w:tcPr>
          <w:p w14:paraId="32C9FBFB" w14:textId="77777777" w:rsidR="00FA16CC" w:rsidRPr="00202017" w:rsidRDefault="00FA16CC" w:rsidP="00E71D12">
            <w:pPr>
              <w:spacing w:after="0"/>
              <w:jc w:val="center"/>
              <w:rPr>
                <w:szCs w:val="24"/>
                <w:lang w:eastAsia="en-GB"/>
              </w:rPr>
            </w:pPr>
            <w:r w:rsidRPr="00202017">
              <w:rPr>
                <w:szCs w:val="24"/>
                <w:lang w:eastAsia="en-GB"/>
              </w:rPr>
              <w:t>profitability</w:t>
            </w:r>
          </w:p>
        </w:tc>
        <w:tc>
          <w:tcPr>
            <w:tcW w:w="2386" w:type="dxa"/>
            <w:tcBorders>
              <w:top w:val="nil"/>
              <w:left w:val="nil"/>
              <w:bottom w:val="single" w:sz="8" w:space="0" w:color="auto"/>
              <w:right w:val="dotted" w:sz="4" w:space="0" w:color="auto"/>
            </w:tcBorders>
            <w:shd w:val="clear" w:color="auto" w:fill="auto"/>
            <w:vAlign w:val="bottom"/>
          </w:tcPr>
          <w:p w14:paraId="09D48B47" w14:textId="77777777" w:rsidR="00FA16CC" w:rsidRPr="00202017" w:rsidRDefault="00FA16CC" w:rsidP="00E71D12">
            <w:pPr>
              <w:spacing w:after="0"/>
              <w:jc w:val="center"/>
              <w:rPr>
                <w:szCs w:val="24"/>
                <w:lang w:eastAsia="en-GB"/>
              </w:rPr>
            </w:pPr>
            <w:r w:rsidRPr="00202017">
              <w:rPr>
                <w:szCs w:val="24"/>
                <w:lang w:eastAsia="en-GB"/>
              </w:rPr>
              <w:t>gross operating surplus / turnover</w:t>
            </w:r>
          </w:p>
        </w:tc>
        <w:tc>
          <w:tcPr>
            <w:tcW w:w="1701" w:type="dxa"/>
            <w:tcBorders>
              <w:top w:val="nil"/>
              <w:left w:val="nil"/>
              <w:bottom w:val="single" w:sz="8" w:space="0" w:color="auto"/>
              <w:right w:val="dotted" w:sz="4" w:space="0" w:color="auto"/>
            </w:tcBorders>
            <w:shd w:val="clear" w:color="auto" w:fill="auto"/>
            <w:vAlign w:val="bottom"/>
          </w:tcPr>
          <w:p w14:paraId="39EFD406" w14:textId="77777777" w:rsidR="00FA16CC" w:rsidRPr="00202017" w:rsidRDefault="00FA16CC" w:rsidP="00E71D12">
            <w:pPr>
              <w:spacing w:after="0"/>
              <w:jc w:val="center"/>
              <w:rPr>
                <w:szCs w:val="24"/>
                <w:lang w:eastAsia="en-GB"/>
              </w:rPr>
            </w:pPr>
            <w:r w:rsidRPr="00202017">
              <w:rPr>
                <w:szCs w:val="24"/>
                <w:lang w:eastAsia="en-GB"/>
              </w:rPr>
              <w:t>below 0.10</w:t>
            </w:r>
          </w:p>
        </w:tc>
        <w:tc>
          <w:tcPr>
            <w:tcW w:w="1559" w:type="dxa"/>
            <w:tcBorders>
              <w:top w:val="nil"/>
              <w:left w:val="nil"/>
              <w:bottom w:val="single" w:sz="8" w:space="0" w:color="auto"/>
              <w:right w:val="nil"/>
            </w:tcBorders>
            <w:shd w:val="clear" w:color="auto" w:fill="auto"/>
            <w:vAlign w:val="bottom"/>
          </w:tcPr>
          <w:p w14:paraId="40A5AA9E" w14:textId="77777777" w:rsidR="00FA16CC" w:rsidRPr="00202017" w:rsidRDefault="00FA16CC" w:rsidP="00E71D12">
            <w:pPr>
              <w:spacing w:after="0"/>
              <w:jc w:val="center"/>
              <w:rPr>
                <w:szCs w:val="24"/>
                <w:lang w:eastAsia="en-GB"/>
              </w:rPr>
            </w:pPr>
            <w:r w:rsidRPr="00202017">
              <w:rPr>
                <w:szCs w:val="24"/>
                <w:lang w:eastAsia="en-GB"/>
              </w:rPr>
              <w:t>between 0.10 and 0.20</w:t>
            </w:r>
          </w:p>
        </w:tc>
        <w:tc>
          <w:tcPr>
            <w:tcW w:w="1418" w:type="dxa"/>
            <w:tcBorders>
              <w:top w:val="nil"/>
              <w:left w:val="dotted" w:sz="4" w:space="0" w:color="auto"/>
              <w:bottom w:val="single" w:sz="8" w:space="0" w:color="auto"/>
              <w:right w:val="single" w:sz="8" w:space="0" w:color="auto"/>
            </w:tcBorders>
            <w:shd w:val="clear" w:color="auto" w:fill="auto"/>
            <w:vAlign w:val="bottom"/>
          </w:tcPr>
          <w:p w14:paraId="2E8F5155" w14:textId="77777777" w:rsidR="00FA16CC" w:rsidRPr="00202017" w:rsidRDefault="00FA16CC" w:rsidP="00E71D12">
            <w:pPr>
              <w:spacing w:after="0"/>
              <w:jc w:val="center"/>
              <w:rPr>
                <w:szCs w:val="24"/>
                <w:lang w:eastAsia="en-GB"/>
              </w:rPr>
            </w:pPr>
            <w:r w:rsidRPr="00202017">
              <w:rPr>
                <w:szCs w:val="24"/>
                <w:lang w:eastAsia="en-GB"/>
              </w:rPr>
              <w:t>above 0.20</w:t>
            </w:r>
          </w:p>
        </w:tc>
      </w:tr>
    </w:tbl>
    <w:p w14:paraId="089EC2F7" w14:textId="77777777" w:rsidR="00FA16CC" w:rsidRPr="00202017" w:rsidRDefault="00FA16CC" w:rsidP="00FA16CC">
      <w:pPr>
        <w:spacing w:after="120"/>
        <w:jc w:val="left"/>
        <w:rPr>
          <w:snapToGrid w:val="0"/>
          <w:szCs w:val="24"/>
        </w:rPr>
      </w:pPr>
    </w:p>
    <w:p w14:paraId="4DAA27B1" w14:textId="77777777" w:rsidR="00FA16CC" w:rsidRPr="00202017" w:rsidRDefault="00FA16CC" w:rsidP="00FA16CC">
      <w:pPr>
        <w:spacing w:after="0"/>
        <w:jc w:val="left"/>
        <w:rPr>
          <w:snapToGrid w:val="0"/>
          <w:szCs w:val="24"/>
        </w:rPr>
      </w:pPr>
      <w:r w:rsidRPr="00202017">
        <w:rPr>
          <w:snapToGrid w:val="0"/>
          <w:szCs w:val="24"/>
        </w:rPr>
        <w:t>Each type of evaluation has a corresponding scoring (number of points) as follows:</w:t>
      </w:r>
    </w:p>
    <w:p w14:paraId="13C1805A" w14:textId="77777777" w:rsidR="00FA16CC" w:rsidRPr="00202017" w:rsidRDefault="00FA16CC" w:rsidP="00FA16CC">
      <w:pPr>
        <w:spacing w:after="0"/>
        <w:jc w:val="left"/>
        <w:rPr>
          <w:snapToGrid w:val="0"/>
          <w:szCs w:val="24"/>
        </w:rPr>
      </w:pPr>
    </w:p>
    <w:tbl>
      <w:tblPr>
        <w:tblW w:w="4776" w:type="dxa"/>
        <w:tblInd w:w="742" w:type="dxa"/>
        <w:tblLook w:val="0000" w:firstRow="0" w:lastRow="0" w:firstColumn="0" w:lastColumn="0" w:noHBand="0" w:noVBand="0"/>
      </w:tblPr>
      <w:tblGrid>
        <w:gridCol w:w="3623"/>
        <w:gridCol w:w="1153"/>
      </w:tblGrid>
      <w:tr w:rsidR="00FA16CC" w:rsidRPr="00202017" w14:paraId="38C4CFE2" w14:textId="77777777" w:rsidTr="00E71D12">
        <w:trPr>
          <w:trHeight w:val="315"/>
        </w:trPr>
        <w:tc>
          <w:tcPr>
            <w:tcW w:w="4776" w:type="dxa"/>
            <w:gridSpan w:val="2"/>
            <w:tcBorders>
              <w:top w:val="single" w:sz="8" w:space="0" w:color="auto"/>
              <w:left w:val="single" w:sz="8" w:space="0" w:color="auto"/>
              <w:bottom w:val="single" w:sz="8" w:space="0" w:color="auto"/>
              <w:right w:val="single" w:sz="8" w:space="0" w:color="000000"/>
            </w:tcBorders>
            <w:shd w:val="clear" w:color="auto" w:fill="FFCC00"/>
            <w:noWrap/>
            <w:vAlign w:val="bottom"/>
          </w:tcPr>
          <w:p w14:paraId="0165C861" w14:textId="77777777" w:rsidR="00FA16CC" w:rsidRPr="00202017" w:rsidRDefault="00FA16CC" w:rsidP="00E71D12">
            <w:pPr>
              <w:spacing w:after="0"/>
              <w:jc w:val="center"/>
              <w:rPr>
                <w:b/>
                <w:bCs/>
                <w:szCs w:val="24"/>
                <w:lang w:eastAsia="en-GB"/>
              </w:rPr>
            </w:pPr>
            <w:r w:rsidRPr="00202017">
              <w:rPr>
                <w:b/>
                <w:bCs/>
                <w:szCs w:val="24"/>
                <w:lang w:eastAsia="en-GB"/>
              </w:rPr>
              <w:t>Scoring</w:t>
            </w:r>
          </w:p>
        </w:tc>
      </w:tr>
      <w:tr w:rsidR="00FA16CC" w:rsidRPr="00202017" w14:paraId="48625F05" w14:textId="77777777" w:rsidTr="00E71D12">
        <w:trPr>
          <w:trHeight w:val="600"/>
        </w:trPr>
        <w:tc>
          <w:tcPr>
            <w:tcW w:w="3623" w:type="dxa"/>
            <w:tcBorders>
              <w:top w:val="nil"/>
              <w:left w:val="single" w:sz="8" w:space="0" w:color="auto"/>
              <w:bottom w:val="nil"/>
              <w:right w:val="nil"/>
            </w:tcBorders>
            <w:shd w:val="clear" w:color="auto" w:fill="auto"/>
            <w:noWrap/>
            <w:vAlign w:val="bottom"/>
          </w:tcPr>
          <w:p w14:paraId="7167F61A" w14:textId="77777777" w:rsidR="00FA16CC" w:rsidRPr="00202017" w:rsidRDefault="00FA16CC" w:rsidP="00E71D12">
            <w:pPr>
              <w:spacing w:after="0"/>
              <w:jc w:val="left"/>
              <w:rPr>
                <w:szCs w:val="24"/>
                <w:lang w:eastAsia="en-GB"/>
              </w:rPr>
            </w:pPr>
            <w:r w:rsidRPr="00202017">
              <w:rPr>
                <w:szCs w:val="24"/>
                <w:lang w:eastAsia="en-GB"/>
              </w:rPr>
              <w:t>Unfavourable value/ratio</w:t>
            </w:r>
          </w:p>
        </w:tc>
        <w:tc>
          <w:tcPr>
            <w:tcW w:w="1153" w:type="dxa"/>
            <w:tcBorders>
              <w:top w:val="nil"/>
              <w:left w:val="nil"/>
              <w:bottom w:val="nil"/>
              <w:right w:val="single" w:sz="8" w:space="0" w:color="auto"/>
            </w:tcBorders>
            <w:shd w:val="clear" w:color="auto" w:fill="auto"/>
            <w:vAlign w:val="bottom"/>
          </w:tcPr>
          <w:p w14:paraId="3C59496B" w14:textId="77777777" w:rsidR="00FA16CC" w:rsidRPr="00202017" w:rsidRDefault="00FA16CC" w:rsidP="00E71D12">
            <w:pPr>
              <w:spacing w:after="0"/>
              <w:jc w:val="center"/>
              <w:rPr>
                <w:szCs w:val="24"/>
                <w:lang w:eastAsia="en-GB"/>
              </w:rPr>
            </w:pPr>
            <w:r w:rsidRPr="00202017">
              <w:rPr>
                <w:szCs w:val="24"/>
                <w:lang w:eastAsia="en-GB"/>
              </w:rPr>
              <w:t>0 points</w:t>
            </w:r>
          </w:p>
        </w:tc>
      </w:tr>
      <w:tr w:rsidR="00FA16CC" w:rsidRPr="00202017" w14:paraId="258D1AA3" w14:textId="77777777" w:rsidTr="00E71D12">
        <w:trPr>
          <w:trHeight w:val="300"/>
        </w:trPr>
        <w:tc>
          <w:tcPr>
            <w:tcW w:w="3623" w:type="dxa"/>
            <w:tcBorders>
              <w:top w:val="nil"/>
              <w:left w:val="single" w:sz="8" w:space="0" w:color="auto"/>
              <w:bottom w:val="nil"/>
              <w:right w:val="nil"/>
            </w:tcBorders>
            <w:shd w:val="clear" w:color="auto" w:fill="auto"/>
            <w:noWrap/>
            <w:vAlign w:val="bottom"/>
          </w:tcPr>
          <w:p w14:paraId="00E411CC" w14:textId="77777777" w:rsidR="00FA16CC" w:rsidRPr="00202017" w:rsidRDefault="00FA16CC" w:rsidP="00E71D12">
            <w:pPr>
              <w:spacing w:after="0"/>
              <w:jc w:val="left"/>
              <w:rPr>
                <w:szCs w:val="24"/>
                <w:lang w:eastAsia="en-GB"/>
              </w:rPr>
            </w:pPr>
            <w:r w:rsidRPr="00202017">
              <w:rPr>
                <w:szCs w:val="24"/>
                <w:lang w:eastAsia="en-GB"/>
              </w:rPr>
              <w:t>Favourable value</w:t>
            </w:r>
          </w:p>
        </w:tc>
        <w:tc>
          <w:tcPr>
            <w:tcW w:w="1153" w:type="dxa"/>
            <w:tcBorders>
              <w:top w:val="nil"/>
              <w:left w:val="nil"/>
              <w:bottom w:val="nil"/>
              <w:right w:val="single" w:sz="8" w:space="0" w:color="auto"/>
            </w:tcBorders>
            <w:shd w:val="clear" w:color="auto" w:fill="auto"/>
            <w:vAlign w:val="bottom"/>
          </w:tcPr>
          <w:p w14:paraId="488B5D75" w14:textId="77777777" w:rsidR="00FA16CC" w:rsidRPr="00202017" w:rsidRDefault="00FA16CC" w:rsidP="00E71D12">
            <w:pPr>
              <w:spacing w:after="0"/>
              <w:jc w:val="center"/>
              <w:rPr>
                <w:szCs w:val="24"/>
                <w:lang w:eastAsia="en-GB"/>
              </w:rPr>
            </w:pPr>
            <w:r w:rsidRPr="00202017">
              <w:rPr>
                <w:szCs w:val="24"/>
                <w:lang w:eastAsia="en-GB"/>
              </w:rPr>
              <w:t>1 point</w:t>
            </w:r>
          </w:p>
        </w:tc>
      </w:tr>
      <w:tr w:rsidR="00FA16CC" w:rsidRPr="00202017" w14:paraId="3DEF4060" w14:textId="77777777" w:rsidTr="00E71D12">
        <w:trPr>
          <w:trHeight w:val="300"/>
        </w:trPr>
        <w:tc>
          <w:tcPr>
            <w:tcW w:w="3623" w:type="dxa"/>
            <w:tcBorders>
              <w:top w:val="nil"/>
              <w:left w:val="single" w:sz="8" w:space="0" w:color="auto"/>
              <w:bottom w:val="nil"/>
              <w:right w:val="nil"/>
            </w:tcBorders>
            <w:shd w:val="clear" w:color="auto" w:fill="auto"/>
            <w:noWrap/>
            <w:vAlign w:val="bottom"/>
          </w:tcPr>
          <w:p w14:paraId="3143A8F2" w14:textId="77777777" w:rsidR="00FA16CC" w:rsidRPr="00202017" w:rsidRDefault="00FA16CC" w:rsidP="00E71D12">
            <w:pPr>
              <w:spacing w:after="0"/>
              <w:jc w:val="left"/>
              <w:rPr>
                <w:szCs w:val="24"/>
                <w:lang w:eastAsia="en-GB"/>
              </w:rPr>
            </w:pPr>
            <w:r w:rsidRPr="00202017">
              <w:rPr>
                <w:szCs w:val="24"/>
                <w:lang w:eastAsia="en-GB"/>
              </w:rPr>
              <w:t>Average ratio</w:t>
            </w:r>
          </w:p>
        </w:tc>
        <w:tc>
          <w:tcPr>
            <w:tcW w:w="1153" w:type="dxa"/>
            <w:tcBorders>
              <w:top w:val="nil"/>
              <w:left w:val="nil"/>
              <w:bottom w:val="nil"/>
              <w:right w:val="single" w:sz="8" w:space="0" w:color="auto"/>
            </w:tcBorders>
            <w:shd w:val="clear" w:color="auto" w:fill="auto"/>
            <w:vAlign w:val="bottom"/>
          </w:tcPr>
          <w:p w14:paraId="0BB51B91" w14:textId="77777777" w:rsidR="00FA16CC" w:rsidRPr="00202017" w:rsidRDefault="00FA16CC" w:rsidP="00E71D12">
            <w:pPr>
              <w:spacing w:after="0"/>
              <w:jc w:val="center"/>
              <w:rPr>
                <w:szCs w:val="24"/>
                <w:lang w:eastAsia="en-GB"/>
              </w:rPr>
            </w:pPr>
            <w:r w:rsidRPr="00202017">
              <w:rPr>
                <w:szCs w:val="24"/>
                <w:lang w:eastAsia="en-GB"/>
              </w:rPr>
              <w:t>1 point</w:t>
            </w:r>
          </w:p>
        </w:tc>
      </w:tr>
      <w:tr w:rsidR="00FA16CC" w:rsidRPr="00202017" w14:paraId="3C965E15" w14:textId="77777777" w:rsidTr="00E71D12">
        <w:trPr>
          <w:trHeight w:val="615"/>
        </w:trPr>
        <w:tc>
          <w:tcPr>
            <w:tcW w:w="3623" w:type="dxa"/>
            <w:tcBorders>
              <w:top w:val="nil"/>
              <w:left w:val="single" w:sz="8" w:space="0" w:color="auto"/>
              <w:bottom w:val="single" w:sz="8" w:space="0" w:color="auto"/>
              <w:right w:val="nil"/>
            </w:tcBorders>
            <w:shd w:val="clear" w:color="auto" w:fill="auto"/>
            <w:noWrap/>
            <w:vAlign w:val="bottom"/>
          </w:tcPr>
          <w:p w14:paraId="1E856D48" w14:textId="77777777" w:rsidR="00FA16CC" w:rsidRPr="00202017" w:rsidRDefault="00FA16CC" w:rsidP="00E71D12">
            <w:pPr>
              <w:spacing w:after="0"/>
              <w:jc w:val="left"/>
              <w:rPr>
                <w:szCs w:val="24"/>
                <w:lang w:eastAsia="en-GB"/>
              </w:rPr>
            </w:pPr>
            <w:r w:rsidRPr="00202017">
              <w:rPr>
                <w:szCs w:val="24"/>
                <w:lang w:eastAsia="en-GB"/>
              </w:rPr>
              <w:t>Favourable ratio</w:t>
            </w:r>
          </w:p>
        </w:tc>
        <w:tc>
          <w:tcPr>
            <w:tcW w:w="1153" w:type="dxa"/>
            <w:tcBorders>
              <w:top w:val="nil"/>
              <w:left w:val="nil"/>
              <w:bottom w:val="single" w:sz="8" w:space="0" w:color="auto"/>
              <w:right w:val="single" w:sz="8" w:space="0" w:color="auto"/>
            </w:tcBorders>
            <w:shd w:val="clear" w:color="auto" w:fill="auto"/>
            <w:vAlign w:val="bottom"/>
          </w:tcPr>
          <w:p w14:paraId="7FBE24CA" w14:textId="77777777" w:rsidR="00FA16CC" w:rsidRPr="00202017" w:rsidRDefault="00FA16CC" w:rsidP="00E71D12">
            <w:pPr>
              <w:spacing w:after="0"/>
              <w:jc w:val="center"/>
              <w:rPr>
                <w:szCs w:val="24"/>
                <w:lang w:eastAsia="en-GB"/>
              </w:rPr>
            </w:pPr>
            <w:r w:rsidRPr="00202017">
              <w:rPr>
                <w:szCs w:val="24"/>
                <w:lang w:eastAsia="en-GB"/>
              </w:rPr>
              <w:t>2 points</w:t>
            </w:r>
          </w:p>
        </w:tc>
      </w:tr>
    </w:tbl>
    <w:p w14:paraId="6FA4197A" w14:textId="77777777" w:rsidR="00FA16CC" w:rsidRPr="00202017" w:rsidRDefault="00FA16CC" w:rsidP="00FA16CC">
      <w:pPr>
        <w:spacing w:after="120"/>
        <w:ind w:left="720" w:hanging="360"/>
        <w:jc w:val="left"/>
        <w:rPr>
          <w:snapToGrid w:val="0"/>
          <w:szCs w:val="24"/>
        </w:rPr>
      </w:pPr>
    </w:p>
    <w:p w14:paraId="057252F6" w14:textId="77777777" w:rsidR="00162B42" w:rsidRDefault="00FA16CC" w:rsidP="00FA16CC">
      <w:r w:rsidRPr="00202017">
        <w:rPr>
          <w:snapToGrid w:val="0"/>
          <w:szCs w:val="24"/>
        </w:rPr>
        <w:t xml:space="preserve">If, for some exceptional reason which the </w:t>
      </w:r>
      <w:r w:rsidR="000D014B">
        <w:rPr>
          <w:snapToGrid w:val="0"/>
          <w:szCs w:val="24"/>
        </w:rPr>
        <w:t>Commission</w:t>
      </w:r>
      <w:r w:rsidRPr="00202017">
        <w:rPr>
          <w:snapToGrid w:val="0"/>
          <w:szCs w:val="24"/>
        </w:rPr>
        <w:t xml:space="preserve"> considers justified, the candidate is unable to provide the references requested by the </w:t>
      </w:r>
      <w:r w:rsidR="000D014B">
        <w:rPr>
          <w:snapToGrid w:val="0"/>
          <w:szCs w:val="24"/>
        </w:rPr>
        <w:t>Commission</w:t>
      </w:r>
      <w:r w:rsidRPr="00202017">
        <w:rPr>
          <w:snapToGrid w:val="0"/>
          <w:szCs w:val="24"/>
        </w:rPr>
        <w:t>, or if he feels that the financial viability check does not provide an accurate picture of his organisation's financial status, he may prove his economic and financial capacity by any other means which the Commission considers appropriate.</w:t>
      </w:r>
    </w:p>
    <w:sectPr w:rsidR="00162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81"/>
    <w:rsid w:val="000D014B"/>
    <w:rsid w:val="00162B42"/>
    <w:rsid w:val="004F4481"/>
    <w:rsid w:val="009F2236"/>
    <w:rsid w:val="00B3494A"/>
    <w:rsid w:val="00DB413A"/>
    <w:rsid w:val="00FA16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563E"/>
  <w15:chartTrackingRefBased/>
  <w15:docId w15:val="{3947EDAD-E23F-4F26-AF59-B007F405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6CC"/>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MELLADO IGLESIAS David (SANTE)</dc:creator>
  <cp:keywords/>
  <dc:description/>
  <cp:lastModifiedBy>Jeroen Poels (FAGG - AFMPS)</cp:lastModifiedBy>
  <cp:revision>2</cp:revision>
  <dcterms:created xsi:type="dcterms:W3CDTF">2022-07-25T10:47:00Z</dcterms:created>
  <dcterms:modified xsi:type="dcterms:W3CDTF">2022-07-25T10:47:00Z</dcterms:modified>
</cp:coreProperties>
</file>